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35" w:rsidRDefault="00EE2035" w:rsidP="008F2CE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EE2035" w:rsidRDefault="00EE2035" w:rsidP="008F2CE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Наблюдательным советом Фо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да развития Алтайского края (протокол от </w:t>
      </w:r>
      <w:r w:rsidR="000C42DD">
        <w:rPr>
          <w:rFonts w:ascii="Times New Roman" w:hAnsi="Times New Roman" w:cs="Times New Roman"/>
          <w:sz w:val="28"/>
          <w:szCs w:val="28"/>
        </w:rPr>
        <w:t xml:space="preserve">08.07.2020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C42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C42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2035" w:rsidRDefault="00EE2035" w:rsidP="00EE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035" w:rsidRDefault="00EE2035" w:rsidP="00EE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035" w:rsidRPr="00EE2035" w:rsidRDefault="00EE2035" w:rsidP="00EE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035">
        <w:rPr>
          <w:rFonts w:ascii="Times New Roman" w:hAnsi="Times New Roman" w:cs="Times New Roman"/>
          <w:sz w:val="28"/>
          <w:szCs w:val="28"/>
        </w:rPr>
        <w:t>ШКАЛА</w:t>
      </w:r>
    </w:p>
    <w:p w:rsidR="0085635F" w:rsidRDefault="00EE2035" w:rsidP="00EE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035">
        <w:rPr>
          <w:rFonts w:ascii="Times New Roman" w:hAnsi="Times New Roman" w:cs="Times New Roman"/>
          <w:sz w:val="28"/>
          <w:szCs w:val="28"/>
        </w:rPr>
        <w:t>дисконтов, применяемых в целях определения залоговой стоимости предмета залога по договорам займа Фонда развития Алтайского края</w:t>
      </w:r>
    </w:p>
    <w:p w:rsidR="00E2337B" w:rsidRPr="00EE2035" w:rsidRDefault="00E2337B" w:rsidP="00EE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237" w:type="dxa"/>
        <w:tblInd w:w="14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48"/>
        <w:gridCol w:w="3402"/>
        <w:gridCol w:w="1134"/>
        <w:gridCol w:w="4253"/>
      </w:tblGrid>
      <w:tr w:rsidR="00EE2035" w:rsidRPr="009666F4" w:rsidTr="00E2337B">
        <w:trPr>
          <w:trHeight w:val="227"/>
          <w:tblHeader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C57EDF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обеспечения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left="83" w:right="1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</w:rPr>
              <w:t>Определяется Наблюдательным советом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Фонда</w:t>
            </w:r>
          </w:p>
        </w:tc>
      </w:tr>
      <w:tr w:rsidR="00EE2035" w:rsidRPr="009666F4" w:rsidTr="00E2337B">
        <w:trPr>
          <w:trHeight w:val="227"/>
          <w:tblHeader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2337B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C57EDF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2337B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="00EE2035"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исконт,</w:t>
            </w:r>
            <w:r w:rsidR="00EE2035" w:rsidRPr="009666F4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="00EE2035"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2337B" w:rsidP="00E2337B">
            <w:pPr>
              <w:pStyle w:val="TableParagraph"/>
              <w:spacing w:line="240" w:lineRule="auto"/>
              <w:ind w:left="111" w:right="109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EE2035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 принятия обеспечения</w:t>
            </w:r>
          </w:p>
        </w:tc>
      </w:tr>
      <w:tr w:rsidR="00EE2035" w:rsidRPr="009666F4" w:rsidTr="00E2337B"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2337B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2337B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107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Независимые гарантии кр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дитных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организаций, соотве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ствующих критериям оценки</w:t>
            </w:r>
            <w:r w:rsidR="00E2337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устойчивости финансового</w:t>
            </w:r>
            <w:r w:rsidR="00E2337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ложения, устанавливаемым Наблюдательным советом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Независимая гарантия кредитной о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ганизации должна отвечать  условиям:</w:t>
            </w:r>
          </w:p>
          <w:p w:rsidR="00EE2035" w:rsidRPr="009666F4" w:rsidRDefault="00EE2035" w:rsidP="00EE203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безотзывная</w:t>
            </w:r>
            <w:proofErr w:type="gramEnd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обязательства гаранта могут быть уменьшены на любую сумму, списанную бенефициаром по  гарантии. Срок действия гарантии должен превышать срок обязательства по возврату займа на 1 месяц. В сл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чае</w:t>
            </w:r>
            <w:proofErr w:type="gramStart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условиями договора  займа предусмотрена последующая замена  гарантии на иное обеспечение, то срок действия гарантии должен </w:t>
            </w:r>
            <w:r w:rsidR="008F2CE8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превышать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срок, установленный для оформления иного обеспечения, не менее, чем на 6 месяцев.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cr/>
              <w:t>Перечень кредитных орг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низаций, гарантии которых могут быть рассмотрены в качестве осно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обеспечения по займам, утве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ждается приказом Директора Фонда</w:t>
            </w:r>
          </w:p>
        </w:tc>
      </w:tr>
      <w:tr w:rsidR="00EE2035" w:rsidRPr="009666F4" w:rsidTr="00E2337B"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8F2CE8" w:rsidP="00E2337B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2337B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Поручительства и независ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мые гарантии Государстве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корпорации</w:t>
            </w:r>
            <w:r w:rsidR="00E2337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«ВЭБ</w:t>
            </w:r>
            <w:proofErr w:type="gramStart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Ф», независимые г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рантии кредитных организ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ций, являющихся организац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ями ВЭБ.РФ и зарегистрир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ванных на территории Росси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ской </w:t>
            </w:r>
            <w:r w:rsidR="00543288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543288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88" w:rsidRPr="009666F4" w:rsidRDefault="00543288" w:rsidP="00543288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Независимая гарантия Государстве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корпорации развития «ВЭБ</w:t>
            </w:r>
            <w:proofErr w:type="gramStart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Ф», кредитной организации «ВЭБ.РФ» должна отвечать условиям:</w:t>
            </w:r>
            <w:r w:rsidR="00E2337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2337B" w:rsidRPr="009666F4" w:rsidRDefault="00543288" w:rsidP="00543288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безотзывная</w:t>
            </w:r>
            <w:proofErr w:type="gramEnd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обязательства гаранта могут быть уменьшены на любую сумму, списанную бенефициаром по гарантии. Срок действия гарантии должен превышать срок обязательства по возврату займа на 1 месяц. </w:t>
            </w:r>
          </w:p>
          <w:p w:rsidR="00EE2035" w:rsidRPr="009666F4" w:rsidRDefault="00543288" w:rsidP="00E2337B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</w:t>
            </w:r>
            <w:proofErr w:type="gramStart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условиями договора займа предусмотрена последующая замена гарантии на иное обеспечение, то срок действия гарантии должен </w:t>
            </w:r>
            <w:r w:rsidR="00E2337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превышать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срок, установленный для оформления иного обеспечения, не менее, чем на 6 месяцев</w:t>
            </w:r>
          </w:p>
        </w:tc>
      </w:tr>
      <w:tr w:rsidR="00EE2035" w:rsidRPr="009666F4" w:rsidTr="00E2337B"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8F2CE8" w:rsidP="00E2337B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543288" w:rsidP="00F110F8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</w:t>
            </w:r>
            <w:proofErr w:type="gramStart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 АО</w:t>
            </w:r>
            <w:proofErr w:type="gramEnd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«Федеральная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корпорация по развитию мал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и среднего предпри</w:t>
            </w:r>
            <w:r w:rsidR="00E2337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</w:t>
            </w:r>
            <w:r w:rsidR="00E2337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E2337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тельства»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АО</w:t>
            </w:r>
            <w:r w:rsidR="00E2337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«МСП Банк», поручительства</w:t>
            </w:r>
            <w:r w:rsidR="00E2337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1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Алта</w:t>
            </w:r>
            <w:r w:rsidR="00F11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F11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фонда</w:t>
            </w:r>
            <w:r w:rsidR="00A003C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543288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88" w:rsidRPr="009666F4" w:rsidRDefault="00543288" w:rsidP="00543288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Гарантия должна быть безотзывной.</w:t>
            </w:r>
          </w:p>
          <w:p w:rsidR="00543288" w:rsidRPr="009666F4" w:rsidRDefault="00543288" w:rsidP="00543288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Поручительство должно предусматр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субсидиарную ответственность поручителя, срок действия поруч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 должен превышать срок об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зательства по возврату займа на 120 дней.</w:t>
            </w:r>
          </w:p>
          <w:p w:rsidR="00EE2035" w:rsidRPr="009666F4" w:rsidRDefault="00EE2035" w:rsidP="00543288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2035" w:rsidRPr="009666F4" w:rsidTr="00E2337B"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8F2CE8" w:rsidP="00E2337B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A003CB" w:rsidP="00C57EDF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Страхование Акционер</w:t>
            </w:r>
            <w:r w:rsidR="00E2337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ным обществом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«Российское агентство по страхованию эк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портных кредитов и инвест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 (АО «ЭКСАР»)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A003CB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2035" w:rsidRPr="009666F4" w:rsidTr="00E2337B"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8F2CE8" w:rsidP="00E2337B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A003CB" w:rsidP="00C57EDF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Государственные (муниц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пальные) гарантии субъектов Российской Федерации (мун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ципальных образований), с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ответствующие требованиям статей 115-117 БК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A003CB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2035" w:rsidRPr="009666F4" w:rsidTr="00E2337B"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8F2CE8" w:rsidP="00E2337B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A003CB" w:rsidP="00C57EDF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Поручительства и независ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мые гарантии юридических лиц при условии, что юрид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ческое лицо соответствует критериям оценки устойчив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финансового положения, устанавливаемым Наблюд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тельным советом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A003CB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0 %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B" w:rsidRPr="009666F4" w:rsidRDefault="00A003CB" w:rsidP="00A003CB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Поручительство юридического лица должно предусматривать солидарную ответственность поручителя, срок действия поручительства должен пр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вышать срок обязательства по возвр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 займа на 1 год.</w:t>
            </w:r>
          </w:p>
          <w:p w:rsidR="00EE2035" w:rsidRPr="009666F4" w:rsidRDefault="00A003CB" w:rsidP="00A003CB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Независимая гарантия юридического лица должна отвечать условиям: бе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отзывная, обязательства гаранта могут быть уменьшены на любую сумму, списанную бенефициаром по гара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тии. Срок действия гарантии должен превышать срок обязательства по во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врату займа на 1 месяц. В случае</w:t>
            </w:r>
            <w:proofErr w:type="gramStart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условиями договора займа пред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смотрена последующая замена гара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тии на иное обеспечение, то срок де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ствия гарантии должен превышать срок, установленный для оформления   иного обеспечения, не менее, чем на 6 месяцев.</w:t>
            </w:r>
          </w:p>
        </w:tc>
      </w:tr>
      <w:tr w:rsidR="00A003CB" w:rsidRPr="009666F4" w:rsidTr="00E2337B"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B" w:rsidRPr="009666F4" w:rsidRDefault="008F2CE8" w:rsidP="00E2337B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B" w:rsidRPr="009666F4" w:rsidRDefault="00A003CB" w:rsidP="00C57EDF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10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Поручительства лизинговых компаний (соответствующих критериям оценки устойчивости финансового положения, уст</w:t>
            </w:r>
            <w:r w:rsidRPr="009666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9666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новленным Наблюдательным советом Фонда)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B" w:rsidRPr="009666F4" w:rsidRDefault="00C57EDF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0 %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B" w:rsidRPr="009666F4" w:rsidRDefault="00C57EDF" w:rsidP="00C57EDF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Поручительство должно предусма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ривать солидарную ответственность поручителя, срок действия поруч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 должен превышать срок об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зательства по возврату займа на 1 год</w:t>
            </w:r>
          </w:p>
        </w:tc>
      </w:tr>
      <w:tr w:rsidR="00C57EDF" w:rsidRPr="009666F4" w:rsidTr="00E2337B"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DF" w:rsidRPr="009666F4" w:rsidRDefault="008F2CE8" w:rsidP="00E2337B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DF" w:rsidRPr="009666F4" w:rsidRDefault="00C57EDF" w:rsidP="00C57EDF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Драгоценные металлы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DF" w:rsidRPr="009666F4" w:rsidRDefault="00C57EDF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DF" w:rsidRPr="009666F4" w:rsidRDefault="00C57EDF" w:rsidP="00C57EDF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залог принимаются драгоценные металлы в стандартных и/или мерных слитках, соответствующие   госуда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ственным и отраслевым стандартам Российской Федерации</w:t>
            </w:r>
          </w:p>
          <w:p w:rsidR="00C57EDF" w:rsidRPr="009666F4" w:rsidRDefault="00C57EDF" w:rsidP="00C57EDF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международным стандартам кач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ства, а также драгоценные металлы, отражаемые на обезличенных мета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лических счетах. Обязательно хран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закладываемого имущества в кр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дитных организациях</w:t>
            </w:r>
          </w:p>
        </w:tc>
      </w:tr>
      <w:tr w:rsidR="00EE2035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8F2CE8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C57EDF">
            <w:pPr>
              <w:ind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EE2035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8F2CE8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E2035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C57EDF">
            <w:pPr>
              <w:pStyle w:val="TableParagraph"/>
              <w:spacing w:line="240" w:lineRule="auto"/>
              <w:ind w:left="13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</w:rPr>
              <w:t>Жилая недвижимость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залог принимаются квартиры, апа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таменты,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многоквартирные жилые дома/комплексы, коттеджи,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таунха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</w:t>
            </w:r>
            <w:proofErr w:type="spellEnd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  <w:p w:rsidR="00EE2035" w:rsidRPr="009666F4" w:rsidRDefault="00EE2035" w:rsidP="00EE203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принимается в залог недвижимость граждан, на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которую в соответствии с законодательством не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 быть о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ращено взыскание.</w:t>
            </w:r>
          </w:p>
        </w:tc>
      </w:tr>
      <w:tr w:rsidR="00EE2035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8F2CE8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E2035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C57EDF">
            <w:pPr>
              <w:pStyle w:val="TableParagraph"/>
              <w:spacing w:line="240" w:lineRule="auto"/>
              <w:ind w:left="13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</w:rPr>
              <w:t>Коммерческая недвижимость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left="111" w:right="107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целей принятия в залог к комме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недвижимости относятся оф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 и офисные центры,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магазины, то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говые и торгово-развлекательные це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тры, торгово-выставочные комплексы, бизне</w:t>
            </w:r>
            <w:proofErr w:type="gramStart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с-</w:t>
            </w:r>
            <w:proofErr w:type="gramEnd"/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парки, оптовые базы, объекты туристической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инфраструктуры (го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тиницы, пансионаты и т.п.),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отели и рестораны, аквапарки, складские ко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плексы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логистические центры, </w:t>
            </w:r>
            <w:proofErr w:type="spellStart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шиноместа</w:t>
            </w:r>
            <w:proofErr w:type="spellEnd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гаражные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комплексы, н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жилые помещения коммерческого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назначения в жилых домах, мн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гофункциональные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комплексы, с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держащие площади различного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чения (жилые, коммерческие, фитнес-центры,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АЗС (включая земельный участок, сооружения и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оборудование) и др.</w:t>
            </w:r>
          </w:p>
          <w:p w:rsidR="00680A19" w:rsidRPr="009666F4" w:rsidRDefault="00680A19" w:rsidP="00680A19">
            <w:pPr>
              <w:pStyle w:val="TableParagraph"/>
              <w:spacing w:line="240" w:lineRule="auto"/>
              <w:ind w:left="111" w:right="107" w:hanging="9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Права долгосрочной аренды на з</w:t>
            </w:r>
            <w:r w:rsidRPr="009666F4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е</w:t>
            </w:r>
            <w:r w:rsidRPr="009666F4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мельные участки, на которых расп</w:t>
            </w:r>
            <w:r w:rsidRPr="009666F4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</w:t>
            </w:r>
            <w:r w:rsidRPr="009666F4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ложены   указанные объекты комме</w:t>
            </w:r>
            <w:r w:rsidRPr="009666F4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р</w:t>
            </w:r>
            <w:r w:rsidRPr="009666F4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ческой недвижимости, принимаются в залог при условии, что срок аренды превышает не менее</w:t>
            </w:r>
            <w:proofErr w:type="gramStart"/>
            <w:r w:rsidRPr="009666F4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9666F4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 xml:space="preserve"> чем на 5 лет срок возврата Займа</w:t>
            </w:r>
          </w:p>
        </w:tc>
      </w:tr>
      <w:tr w:rsidR="00EE2035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8F2CE8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E2035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2337B">
            <w:pPr>
              <w:pStyle w:val="TableParagraph"/>
              <w:spacing w:line="240" w:lineRule="auto"/>
              <w:ind w:left="13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Промышленная </w:t>
            </w:r>
            <w:r w:rsidR="00E2337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left="111" w:right="106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целей принятия в залог к пр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мышленной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недвижимости относятся здания, сооружения,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склады, иные объекты недвижимого имущества,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предназначенные для выпуска пр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мышленной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продукции и/или техн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 задействованные в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водственной деятельности.</w:t>
            </w:r>
          </w:p>
          <w:p w:rsidR="00680A19" w:rsidRPr="009666F4" w:rsidRDefault="00680A19" w:rsidP="00680A19">
            <w:pPr>
              <w:pStyle w:val="TableParagraph"/>
              <w:spacing w:line="240" w:lineRule="auto"/>
              <w:ind w:left="111" w:right="106" w:hanging="9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Права долгосрочной аренды на з</w:t>
            </w:r>
            <w:r w:rsidRPr="009666F4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е</w:t>
            </w:r>
            <w:r w:rsidRPr="009666F4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мельные участки, на которых расп</w:t>
            </w:r>
            <w:r w:rsidRPr="009666F4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</w:t>
            </w:r>
            <w:r w:rsidRPr="009666F4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ложены   указанные объекты недв</w:t>
            </w:r>
            <w:r w:rsidRPr="009666F4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</w:t>
            </w:r>
            <w:r w:rsidRPr="009666F4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жимости, принимаются в залог при условии, что срок аренды превышает не менее</w:t>
            </w:r>
            <w:proofErr w:type="gramStart"/>
            <w:r w:rsidRPr="009666F4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9666F4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 xml:space="preserve"> чем на 5 лет срок возврата Займа</w:t>
            </w:r>
          </w:p>
        </w:tc>
      </w:tr>
      <w:tr w:rsidR="00EE2035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8F2CE8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  <w:r w:rsidR="00EE2035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C57EDF">
            <w:pPr>
              <w:pStyle w:val="TableParagraph"/>
              <w:spacing w:line="240" w:lineRule="auto"/>
              <w:ind w:left="13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залог принимаются земельные участки из состава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 промы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ленности, энергетики, транспорта,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связи, радиовещания, информатики и иные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земельные участки данных кат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горий земель,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земельные участки из состава земель населенных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пунктов свободные и застроенные</w:t>
            </w:r>
          </w:p>
        </w:tc>
      </w:tr>
      <w:tr w:rsidR="00680A19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19" w:rsidRPr="009666F4" w:rsidRDefault="008F2CE8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19" w:rsidRPr="009666F4" w:rsidRDefault="00680A19" w:rsidP="00680A19">
            <w:pPr>
              <w:pStyle w:val="TableParagraph"/>
              <w:spacing w:line="240" w:lineRule="auto"/>
              <w:ind w:left="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19" w:rsidRPr="009666F4" w:rsidRDefault="00680A19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B" w:rsidRPr="009666F4" w:rsidRDefault="001E0BBB" w:rsidP="001E0BBB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залог принимаются объекты нез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вершенного строительства, на кот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рые оформлено право собственности.</w:t>
            </w:r>
          </w:p>
          <w:p w:rsidR="00680A19" w:rsidRPr="009666F4" w:rsidRDefault="008F767D" w:rsidP="008F767D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могут быть приняты в залог </w:t>
            </w:r>
            <w:r w:rsidR="001E0BB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="001E0BB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1E0BB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BB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незавершенного строительства с просроченными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сроками разрешения на строительство </w:t>
            </w:r>
            <w:r w:rsidR="001E0BB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и/или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BB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просроченн</w:t>
            </w:r>
            <w:r w:rsidR="001E0BB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1E0BB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сроками ввода в эксплуатацию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BB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указанного в проектной документации объекта</w:t>
            </w:r>
          </w:p>
        </w:tc>
      </w:tr>
      <w:tr w:rsidR="008F2CE8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160D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Движимое имущество</w:t>
            </w:r>
          </w:p>
        </w:tc>
      </w:tr>
      <w:tr w:rsidR="008F2CE8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8F2CE8">
            <w:pPr>
              <w:pStyle w:val="TableParagraph"/>
              <w:spacing w:line="240" w:lineRule="auto"/>
              <w:ind w:left="13" w:right="113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О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160D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залог принимается технологическое оборудование, прочие машины и об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рудование, залоговой стоимостью не менее 300 000 рублей за единицу, при  выполнении любого из следующих условий: </w:t>
            </w:r>
          </w:p>
          <w:p w:rsidR="008F2CE8" w:rsidRPr="009666F4" w:rsidRDefault="008F2CE8" w:rsidP="00E160D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Оборудование полностью оплач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но, принято к бухгалтерскому учету и введено в эксплуатацию Залогодат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лем.</w:t>
            </w:r>
          </w:p>
          <w:p w:rsidR="008F2CE8" w:rsidRPr="009666F4" w:rsidRDefault="008F2CE8" w:rsidP="00E160D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Оборудование приобретается З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емщиком в собственность в рамках реализации проекта, полностью не оплачено, при этом продавец (п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ставщик) отказался от прав залога в соответствии со ст. 488 ГК РФ.</w:t>
            </w:r>
          </w:p>
          <w:p w:rsidR="008F2CE8" w:rsidRPr="009666F4" w:rsidRDefault="008F2CE8" w:rsidP="00E160D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Оборудование приобретается З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емщиком в собственность в рамках реализации проекта, полностью не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оплачено, при этом передается в залог продавцом (поставщиком) до перех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права собственности к Заемщику.</w:t>
            </w:r>
          </w:p>
        </w:tc>
      </w:tr>
      <w:tr w:rsidR="008F2CE8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160D5">
            <w:pPr>
              <w:pStyle w:val="TableParagraph"/>
              <w:spacing w:line="240" w:lineRule="auto"/>
              <w:ind w:left="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160D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технологического оборудования</w:t>
            </w:r>
          </w:p>
        </w:tc>
      </w:tr>
      <w:tr w:rsidR="008F2CE8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160D5">
            <w:pPr>
              <w:pStyle w:val="TableParagraph"/>
              <w:spacing w:line="240" w:lineRule="auto"/>
              <w:ind w:left="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35 %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160D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прочих машин и оборудования</w:t>
            </w:r>
          </w:p>
        </w:tc>
      </w:tr>
      <w:tr w:rsidR="005A15E7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8F2CE8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8F2CE8" w:rsidP="005A15E7">
            <w:pPr>
              <w:pStyle w:val="TableParagraph"/>
              <w:spacing w:line="240" w:lineRule="auto"/>
              <w:ind w:left="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5A15E7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ранспортные сред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5A15E7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залог принимается автотранспорт, спецтехника, самоходные машины, прицепы, подвижной состав и прочие транспортные средства залоговой  стоимостью не менее 300 000 рублей за единицу. Транспортное средство, принимаемое  в залог Фондом, дол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быть полностью оплачено, принято к бухгалтерскому учету и введено в эксплуатацию Залогодателем.</w:t>
            </w:r>
          </w:p>
        </w:tc>
      </w:tr>
      <w:tr w:rsidR="005A15E7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E160D5">
            <w:pPr>
              <w:pStyle w:val="TableParagraph"/>
              <w:spacing w:line="240" w:lineRule="auto"/>
              <w:ind w:left="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30 %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5A15E7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автотранспорта и самоходных машин, произведенных не ранее 3 лет до даты рассмотрения проекта Наблюдательным советом Фонда</w:t>
            </w:r>
          </w:p>
        </w:tc>
      </w:tr>
      <w:tr w:rsidR="005A15E7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E160D5">
            <w:pPr>
              <w:pStyle w:val="TableParagraph"/>
              <w:spacing w:line="240" w:lineRule="auto"/>
              <w:ind w:left="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5A15E7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автотранспорта и самоходных машин, произведенных не ранее 7 лет до даты рассмотрения проекта Наблюдательным советом Фонда</w:t>
            </w:r>
          </w:p>
        </w:tc>
      </w:tr>
      <w:tr w:rsidR="005A15E7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E160D5">
            <w:pPr>
              <w:pStyle w:val="TableParagraph"/>
              <w:spacing w:line="240" w:lineRule="auto"/>
              <w:ind w:left="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5A15E7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автотранспорта и самоходных машин, произведенных ранее 7 лет до даты рассмотрения проекта Наблюд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тельным советом Фонда;</w:t>
            </w:r>
          </w:p>
          <w:p w:rsidR="005A15E7" w:rsidRPr="009666F4" w:rsidRDefault="005A15E7" w:rsidP="005A15E7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иных транспортных средств.</w:t>
            </w:r>
          </w:p>
        </w:tc>
      </w:tr>
    </w:tbl>
    <w:p w:rsidR="00EE2035" w:rsidRDefault="00EE2035"/>
    <w:sectPr w:rsidR="00EE2035" w:rsidSect="00E2337B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7B" w:rsidRDefault="00E2337B" w:rsidP="00E2337B">
      <w:pPr>
        <w:spacing w:after="0" w:line="240" w:lineRule="auto"/>
      </w:pPr>
      <w:r>
        <w:separator/>
      </w:r>
    </w:p>
  </w:endnote>
  <w:endnote w:type="continuationSeparator" w:id="0">
    <w:p w:rsidR="00E2337B" w:rsidRDefault="00E2337B" w:rsidP="00E2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7B" w:rsidRDefault="00E2337B" w:rsidP="00E2337B">
      <w:pPr>
        <w:spacing w:after="0" w:line="240" w:lineRule="auto"/>
      </w:pPr>
      <w:r>
        <w:separator/>
      </w:r>
    </w:p>
  </w:footnote>
  <w:footnote w:type="continuationSeparator" w:id="0">
    <w:p w:rsidR="00E2337B" w:rsidRDefault="00E2337B" w:rsidP="00E2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112321"/>
      <w:docPartObj>
        <w:docPartGallery w:val="Page Numbers (Top of Page)"/>
        <w:docPartUnique/>
      </w:docPartObj>
    </w:sdtPr>
    <w:sdtEndPr/>
    <w:sdtContent>
      <w:p w:rsidR="00E2337B" w:rsidRDefault="00E2337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2DD">
          <w:rPr>
            <w:noProof/>
          </w:rPr>
          <w:t>5</w:t>
        </w:r>
        <w:r>
          <w:fldChar w:fldCharType="end"/>
        </w:r>
      </w:p>
    </w:sdtContent>
  </w:sdt>
  <w:p w:rsidR="00E2337B" w:rsidRDefault="00E23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FC"/>
    <w:rsid w:val="000C42DD"/>
    <w:rsid w:val="001E0BBB"/>
    <w:rsid w:val="00543288"/>
    <w:rsid w:val="005A15E7"/>
    <w:rsid w:val="00680A19"/>
    <w:rsid w:val="008323FC"/>
    <w:rsid w:val="0085635F"/>
    <w:rsid w:val="008F2CE8"/>
    <w:rsid w:val="008F767D"/>
    <w:rsid w:val="009666F4"/>
    <w:rsid w:val="00A003CB"/>
    <w:rsid w:val="00A27E4D"/>
    <w:rsid w:val="00C57EDF"/>
    <w:rsid w:val="00E160D5"/>
    <w:rsid w:val="00E2337B"/>
    <w:rsid w:val="00EE2035"/>
    <w:rsid w:val="00F1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20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2035"/>
    <w:pPr>
      <w:widowControl w:val="0"/>
      <w:spacing w:after="0" w:line="269" w:lineRule="exact"/>
      <w:ind w:left="100"/>
    </w:pPr>
    <w:rPr>
      <w:rFonts w:ascii="Arial" w:eastAsia="Arial" w:hAnsi="Arial" w:cs="Arial"/>
      <w:lang w:val="en-US"/>
    </w:rPr>
  </w:style>
  <w:style w:type="paragraph" w:styleId="a3">
    <w:name w:val="header"/>
    <w:basedOn w:val="a"/>
    <w:link w:val="a4"/>
    <w:uiPriority w:val="99"/>
    <w:unhideWhenUsed/>
    <w:rsid w:val="00E2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37B"/>
  </w:style>
  <w:style w:type="paragraph" w:styleId="a5">
    <w:name w:val="footer"/>
    <w:basedOn w:val="a"/>
    <w:link w:val="a6"/>
    <w:uiPriority w:val="99"/>
    <w:unhideWhenUsed/>
    <w:rsid w:val="00E2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20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2035"/>
    <w:pPr>
      <w:widowControl w:val="0"/>
      <w:spacing w:after="0" w:line="269" w:lineRule="exact"/>
      <w:ind w:left="100"/>
    </w:pPr>
    <w:rPr>
      <w:rFonts w:ascii="Arial" w:eastAsia="Arial" w:hAnsi="Arial" w:cs="Arial"/>
      <w:lang w:val="en-US"/>
    </w:rPr>
  </w:style>
  <w:style w:type="paragraph" w:styleId="a3">
    <w:name w:val="header"/>
    <w:basedOn w:val="a"/>
    <w:link w:val="a4"/>
    <w:uiPriority w:val="99"/>
    <w:unhideWhenUsed/>
    <w:rsid w:val="00E2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37B"/>
  </w:style>
  <w:style w:type="paragraph" w:styleId="a5">
    <w:name w:val="footer"/>
    <w:basedOn w:val="a"/>
    <w:link w:val="a6"/>
    <w:uiPriority w:val="99"/>
    <w:unhideWhenUsed/>
    <w:rsid w:val="00E2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Панченко</dc:creator>
  <cp:keywords/>
  <dc:description/>
  <cp:lastModifiedBy>Андрей А. Панченко</cp:lastModifiedBy>
  <cp:revision>6</cp:revision>
  <dcterms:created xsi:type="dcterms:W3CDTF">2020-06-16T05:30:00Z</dcterms:created>
  <dcterms:modified xsi:type="dcterms:W3CDTF">2020-07-13T08:21:00Z</dcterms:modified>
</cp:coreProperties>
</file>